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32604E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2CF37AE5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EGFR </w:t>
      </w:r>
      <w:r>
        <w:rPr>
          <w:rFonts w:hint="eastAsia"/>
          <w:b/>
          <w:sz w:val="28"/>
          <w:szCs w:val="28"/>
          <w:lang/>
        </w:rPr>
        <w:t>(</w:t>
      </w:r>
      <w:r>
        <w:rPr>
          <w:rFonts w:hint="eastAsia"/>
          <w:b/>
          <w:sz w:val="28"/>
          <w:szCs w:val="28"/>
        </w:rPr>
        <w:t>L858Q</w:t>
      </w:r>
      <w:r>
        <w:rPr>
          <w:rFonts w:hint="eastAsia"/>
          <w:b/>
          <w:sz w:val="28"/>
          <w:szCs w:val="28"/>
          <w:lang/>
        </w:rPr>
        <w:t>)</w:t>
      </w:r>
    </w:p>
    <w:p w14:paraId="5FDE4E5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</w:t>
      </w:r>
      <w:r>
        <w:rPr>
          <w:szCs w:val="21"/>
        </w:rPr>
        <w:t>221</w:t>
      </w:r>
    </w:p>
    <w:p w14:paraId="54E96FC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EGFR</w:t>
      </w:r>
      <w:r>
        <w:rPr>
          <w:szCs w:val="21"/>
        </w:rPr>
        <w:t>/HER1/ERBB1</w:t>
      </w:r>
    </w:p>
    <w:p w14:paraId="4A7FF42A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EGFR (L858Q)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34BBB9FA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D80E645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EGFR is a receptor tyrosine kinase binding ligands of the EGF family and activating several signaling cascades to convert extracellular cues into appropriate cellular responses. It activates at least 4 major downstream signaling cascades including the RAS-RAF-MEK-ERK, PI3 kinase-AKT, PLCgamma-PKC and STATs modules.</w:t>
      </w:r>
      <w:r>
        <w:rPr>
          <w:rFonts w:hint="eastAsia"/>
        </w:rPr>
        <w:t xml:space="preserve"> </w:t>
      </w:r>
      <w:r>
        <w:t>Defects in EGFR are associated with lung cancer (LNCR)</w:t>
      </w:r>
      <w:r>
        <w:rPr>
          <w:rFonts w:hint="eastAsia"/>
        </w:rPr>
        <w:t>.</w:t>
      </w:r>
    </w:p>
    <w:p w14:paraId="44303D5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szCs w:val="21"/>
        </w:rPr>
        <w:t>EGFR</w:t>
      </w:r>
      <w:r>
        <w:rPr>
          <w:rFonts w:hint="eastAsia"/>
          <w:color w:val="000000"/>
          <w:szCs w:val="21"/>
        </w:rPr>
        <w:t xml:space="preserve">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 xml:space="preserve">mutation of </w:t>
      </w:r>
      <w:r>
        <w:rPr>
          <w:rFonts w:hint="eastAsia"/>
          <w:szCs w:val="21"/>
        </w:rPr>
        <w:t>L858Q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A82CBF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ELISA, WB, </w:t>
      </w:r>
      <w:r>
        <w:rPr>
          <w:rFonts w:hint="eastAsia"/>
          <w:szCs w:val="21"/>
          <w:lang/>
        </w:rPr>
        <w:t xml:space="preserve">IF, </w:t>
      </w:r>
      <w:r>
        <w:rPr>
          <w:szCs w:val="21"/>
          <w:lang/>
        </w:rPr>
        <w:t>IHC</w:t>
      </w:r>
    </w:p>
    <w:p w14:paraId="04BFB9B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FF41C07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126D60C1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ED0311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5319E1E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6225961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DCCEED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6C6DCC1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70F881A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074D1E3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2AA2E36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17CEE60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18893B3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  <w:lang/>
        </w:rPr>
        <w:t xml:space="preserve">Recognizes </w:t>
      </w:r>
      <w:r>
        <w:rPr>
          <w:rFonts w:hint="eastAsia"/>
          <w:szCs w:val="21"/>
        </w:rPr>
        <w:t>EGFR (L858Q)</w:t>
      </w:r>
      <w:r>
        <w:rPr>
          <w:szCs w:val="21"/>
        </w:rPr>
        <w:t>, but not wild type EGFR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protein from</w:t>
      </w:r>
      <w:r>
        <w:rPr>
          <w:szCs w:val="21"/>
          <w:lang/>
        </w:rPr>
        <w:t xml:space="preserve"> vertebrates.</w:t>
      </w:r>
    </w:p>
    <w:p w14:paraId="5A61B42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 freeze / thaw cycles</w:t>
      </w:r>
      <w:r>
        <w:rPr>
          <w:rFonts w:hint="eastAsia"/>
          <w:szCs w:val="21"/>
        </w:rPr>
        <w:t>.</w:t>
      </w:r>
    </w:p>
    <w:p w14:paraId="2C6BD6A5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6C50502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D95E5D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E04E85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855D9E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Western blot:</w:t>
      </w:r>
    </w:p>
    <w:p w14:paraId="12D10C4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68520B88">
      <w:pPr>
        <w:autoSpaceDE w:val="0"/>
        <w:autoSpaceDN w:val="0"/>
        <w:adjustRightInd w:val="0"/>
        <w:jc w:val="center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186305" cy="2086610"/>
            <wp:effectExtent l="0" t="0" r="0" b="889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1"/>
                    <pic:cNvPicPr>
                      <a:picLocks noChangeAspect="1"/>
                    </pic:cNvPicPr>
                  </pic:nvPicPr>
                  <pic:blipFill>
                    <a:blip r:embed="rId10"/>
                    <a:srcRect l="-4054" t="-3712" r="-6265" b="-2228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DDB47">
      <w:pPr>
        <w:autoSpaceDE w:val="0"/>
        <w:autoSpaceDN w:val="0"/>
        <w:adjustRightInd w:val="0"/>
        <w:jc w:val="left"/>
        <w:rPr>
          <w:rFonts w:hint="eastAsia"/>
          <w:b/>
          <w:szCs w:val="21"/>
          <w:lang/>
        </w:rPr>
      </w:pPr>
    </w:p>
    <w:p w14:paraId="2E034476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>EGFR(L858Q)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>EGFR (L858Q)</w:t>
      </w:r>
      <w:r>
        <w:rPr>
          <w:szCs w:val="21"/>
        </w:rPr>
        <w:t xml:space="preserve"> protein</w:t>
      </w:r>
      <w:r>
        <w:rPr>
          <w:rFonts w:hint="eastAsia"/>
          <w:szCs w:val="21"/>
        </w:rPr>
        <w:t xml:space="preserve"> (</w:t>
      </w:r>
      <w:r>
        <w:rPr>
          <w:szCs w:val="21"/>
        </w:rPr>
        <w:t>aa</w:t>
      </w:r>
      <w:r>
        <w:rPr>
          <w:rFonts w:hint="eastAsia"/>
          <w:szCs w:val="21"/>
        </w:rPr>
        <w:t>702-987</w:t>
      </w:r>
      <w:r>
        <w:rPr>
          <w:szCs w:val="21"/>
        </w:rPr>
        <w:t>, lane 1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and </w:t>
      </w:r>
      <w:r>
        <w:rPr>
          <w:szCs w:val="21"/>
        </w:rPr>
        <w:t xml:space="preserve">corresponding </w:t>
      </w:r>
      <w:r>
        <w:rPr>
          <w:rFonts w:hint="eastAsia"/>
          <w:szCs w:val="21"/>
        </w:rPr>
        <w:t>wild-type protein (</w:t>
      </w:r>
      <w:r>
        <w:rPr>
          <w:szCs w:val="21"/>
        </w:rPr>
        <w:t>aa</w:t>
      </w:r>
      <w:r>
        <w:rPr>
          <w:rFonts w:hint="eastAsia"/>
          <w:szCs w:val="21"/>
        </w:rPr>
        <w:t>702-987</w:t>
      </w:r>
      <w:r>
        <w:rPr>
          <w:szCs w:val="21"/>
        </w:rPr>
        <w:t>, lane 2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EGFR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(L858Q)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mouse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</w:t>
      </w:r>
      <w:r>
        <w:rPr>
          <w:szCs w:val="21"/>
        </w:rPr>
        <w:t>221</w:t>
      </w:r>
      <w:r>
        <w:rPr>
          <w:szCs w:val="21"/>
          <w:lang/>
        </w:rPr>
        <w:t>)</w:t>
      </w:r>
      <w:r>
        <w:rPr>
          <w:szCs w:val="21"/>
        </w:rPr>
        <w:t>.</w:t>
      </w:r>
    </w:p>
    <w:p w14:paraId="477E04A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56FA5E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9CF0A7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648207D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5FA344E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5385D00B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10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2FED5716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4041B2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3C47F9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A91A61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3CBF33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9DF33E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D5CB49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FFF229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8F17B4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65D85A2">
      <w:pPr>
        <w:autoSpaceDE w:val="0"/>
        <w:autoSpaceDN w:val="0"/>
        <w:adjustRightInd w:val="0"/>
        <w:jc w:val="left"/>
        <w:rPr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83F14">
    <w:pPr>
      <w:jc w:val="center"/>
      <w:rPr>
        <w:rFonts w:hint="eastAsia" w:ascii="Arial" w:hAnsi="Arial" w:cs="Arial"/>
        <w:b/>
        <w:sz w:val="16"/>
        <w:szCs w:val="16"/>
      </w:rPr>
    </w:pPr>
  </w:p>
  <w:p w14:paraId="02E1FAFF">
    <w:pPr>
      <w:jc w:val="center"/>
      <w:rPr>
        <w:rFonts w:hint="eastAsia" w:ascii="Arial" w:hAnsi="Arial" w:cs="Arial"/>
        <w:b/>
        <w:sz w:val="16"/>
        <w:szCs w:val="16"/>
      </w:rPr>
    </w:pPr>
  </w:p>
  <w:p w14:paraId="4430197F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1B5A4">
    <w:pPr>
      <w:jc w:val="center"/>
      <w:rPr>
        <w:rFonts w:hint="eastAsia" w:ascii="Arial" w:hAnsi="Arial" w:cs="Arial"/>
        <w:b/>
        <w:sz w:val="16"/>
        <w:szCs w:val="16"/>
      </w:rPr>
    </w:pPr>
  </w:p>
  <w:p w14:paraId="58519372">
    <w:pPr>
      <w:jc w:val="center"/>
      <w:rPr>
        <w:rFonts w:hint="eastAsia" w:ascii="Arial" w:hAnsi="Arial" w:cs="Arial"/>
        <w:b/>
        <w:sz w:val="16"/>
        <w:szCs w:val="16"/>
      </w:rPr>
    </w:pPr>
  </w:p>
  <w:p w14:paraId="266C751A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BAA60">
    <w:pPr>
      <w:jc w:val="center"/>
      <w:rPr>
        <w:rFonts w:hint="eastAsia" w:ascii="Arial" w:hAnsi="Arial" w:cs="Arial"/>
        <w:b/>
        <w:sz w:val="16"/>
        <w:szCs w:val="16"/>
      </w:rPr>
    </w:pPr>
  </w:p>
  <w:p w14:paraId="159D362D">
    <w:pPr>
      <w:jc w:val="center"/>
      <w:rPr>
        <w:rFonts w:hint="eastAsia" w:ascii="Arial" w:hAnsi="Arial" w:cs="Arial"/>
        <w:b/>
        <w:sz w:val="16"/>
        <w:szCs w:val="16"/>
      </w:rPr>
    </w:pPr>
  </w:p>
  <w:p w14:paraId="24A32BFE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6" name="直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5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FhMRqjnAQAA3AMAAA4AAABkcnMvZTJvRG9jLnhtbK1T&#10;S27bMBDdF+gdCO5rySni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vF/OP1y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WExGq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7B97829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6989A8AD">
    <w:pPr>
      <w:jc w:val="center"/>
      <w:rPr>
        <w:rFonts w:hint="eastAsia"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24 Whitewoods Lane, Malvern</w:t>
    </w:r>
    <w:r>
      <w:rPr>
        <w:rFonts w:hint="eastAsia" w:ascii="Arial" w:hAnsi="Arial" w:cs="Arial"/>
        <w:b/>
        <w:i/>
        <w:sz w:val="18"/>
        <w:szCs w:val="18"/>
      </w:rPr>
      <w:t xml:space="preserve">, </w:t>
    </w:r>
    <w:r>
      <w:rPr>
        <w:rFonts w:ascii="Arial" w:hAnsi="Arial" w:cs="Arial"/>
        <w:b/>
        <w:i/>
        <w:sz w:val="18"/>
        <w:szCs w:val="18"/>
      </w:rPr>
      <w:t xml:space="preserve">PA 19355 </w:t>
    </w:r>
    <w:r>
      <w:rPr>
        <w:rFonts w:hint="eastAsia" w:ascii="Arial" w:hAnsi="Arial" w:cs="Arial"/>
        <w:b/>
        <w:i/>
        <w:sz w:val="18"/>
        <w:szCs w:val="18"/>
      </w:rPr>
      <w:t xml:space="preserve">  </w:t>
    </w:r>
    <w:r>
      <w:rPr>
        <w:rFonts w:ascii="Arial" w:hAnsi="Arial" w:cs="Arial"/>
        <w:b/>
        <w:i/>
        <w:sz w:val="18"/>
        <w:szCs w:val="18"/>
      </w:rPr>
      <w:t>Tel: (610) 945-2007  FAX: (610) 945-2008</w:t>
    </w:r>
  </w:p>
  <w:p w14:paraId="240F5312">
    <w:pPr>
      <w:jc w:val="center"/>
      <w:rPr>
        <w:b/>
      </w:rPr>
    </w:pPr>
    <w:r>
      <w:rPr>
        <w:rFonts w:hint="eastAsia"/>
        <w:b/>
        <w:i/>
      </w:rPr>
      <w:t xml:space="preserve">E-mail: </w:t>
    </w:r>
    <w:r>
      <w:rPr>
        <w:b/>
        <w:i/>
      </w:rPr>
      <w:fldChar w:fldCharType="begin"/>
    </w:r>
    <w:r>
      <w:rPr>
        <w:b/>
        <w:i/>
      </w:rPr>
      <w:instrText xml:space="preserve"> HYPERLINK "mailto:</w:instrText>
    </w:r>
    <w:r>
      <w:rPr>
        <w:rFonts w:hint="eastAsia"/>
        <w:b/>
        <w:i/>
      </w:rPr>
      <w:instrText xml:space="preserve">sale@neweastbio.com</w:instrText>
    </w:r>
    <w:r>
      <w:rPr>
        <w:b/>
        <w:i/>
      </w:rPr>
      <w:instrText xml:space="preserve">" </w:instrText>
    </w:r>
    <w:r>
      <w:rPr>
        <w:b/>
        <w:i/>
      </w:rPr>
      <w:fldChar w:fldCharType="separate"/>
    </w:r>
    <w:r>
      <w:rPr>
        <w:rStyle w:val="10"/>
        <w:rFonts w:hint="eastAsia"/>
        <w:b/>
        <w:i/>
      </w:rPr>
      <w:t>sale@neweastbio.com</w:t>
    </w:r>
    <w:r>
      <w:rPr>
        <w:b/>
        <w:i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9CAB7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34745" cy="1056640"/>
          <wp:effectExtent l="0" t="0" r="8255" b="10160"/>
          <wp:docPr id="7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47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F806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318B0">
    <w:pPr>
      <w:ind w:right="-874" w:rightChars="-416" w:firstLine="1767" w:firstLineChars="550"/>
      <w:rPr>
        <w:rFonts w:ascii="Arial Black" w:hAnsi="Arial Black" w:cs="Arial"/>
        <w:b/>
        <w:color w:val="339933"/>
        <w:sz w:val="24"/>
      </w:rPr>
    </w:pPr>
    <w:r>
      <w:rPr>
        <w:rFonts w:ascii="Arial" w:hAnsi="Arial" w:cs="Arial"/>
        <w:b/>
        <w:color w:val="339933"/>
        <w:sz w:val="32"/>
        <w:szCs w:val="32"/>
        <w:lang/>
      </w:rPr>
      <w:drawing>
        <wp:inline distT="0" distB="0" distL="114300" distR="114300">
          <wp:extent cx="5147310" cy="828675"/>
          <wp:effectExtent l="0" t="0" r="15240" b="9525"/>
          <wp:docPr id="8" name="Picture 4" descr="New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" descr="New Heade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73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Arial Black" w:hAnsi="Arial Black" w:cs="Arial"/>
        <w:b/>
        <w:color w:val="339933"/>
        <w:sz w:val="24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GrSu5bnAQAA3AMAAA4AAABkcnMvZTJvRG9jLnhtbK1T&#10;S27bQAzdF+gdBrOvJadNagiWs4ibboo2QNID0PORBpgfhmPLPkuv0VU3PU6uUY7kOG268SIbiTMk&#10;H/keOcvrvbNspxKa4Fs+n9WcKS+CNL5r+feH23cLzjCDl2CDVy0/KOTXq7dvlkNs1EXog5UqMQLx&#10;2Ayx5X3OsakqFL1ygLMQlSenDslBpmPqKplgIHRnq4u6vqqGkGRMQShEul1PTn5ETOcABq2NUOsg&#10;tk75PKEmZSETJexNRL4au9VaifxNa1SZ2ZYT0zx+qQjZm/KtVktougSxN+LYApzTwgtODoynoieo&#10;NWRg22T+g3JGpIBB55kIrpqIjIoQi3n9Qpv7HqIauZDUGE+i4+vBiq+7u8SMbPklZx4cDfzxx8/H&#10;X7/Zh6LNELGhkPt4l44nJLMQ3evkyp8osP2o5+Gkp9pnJujy6v1i/vGSpBZPvuo5MSbMn1VwrBgt&#10;t8YXqtDA7gtmKkahTyHl2no2tJwA64IHtHiaBk6mi9Q8+m5MxmCNvDXWlhRM3ebGJraDMvx6UVPq&#10;BPxPWKmyBuynuNE1rUWvQH7ykuVDJFk8vQZeenBKcmYVPZ5iESA0GYw9J5I4WU/UiqyTkMXaBHmg&#10;IWxjMl1PUszHLouHhj4KcVzQslV/n0ek50e5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atK7l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1C0"/>
    <w:rsid w:val="0001762F"/>
    <w:rsid w:val="00070F0C"/>
    <w:rsid w:val="001B47F9"/>
    <w:rsid w:val="001C1B6D"/>
    <w:rsid w:val="001D11E8"/>
    <w:rsid w:val="001F6513"/>
    <w:rsid w:val="00282B07"/>
    <w:rsid w:val="00325215"/>
    <w:rsid w:val="003821EE"/>
    <w:rsid w:val="00384188"/>
    <w:rsid w:val="003A2BEE"/>
    <w:rsid w:val="003E5C33"/>
    <w:rsid w:val="00422C92"/>
    <w:rsid w:val="004429C1"/>
    <w:rsid w:val="00516B8A"/>
    <w:rsid w:val="00516D3F"/>
    <w:rsid w:val="005634F3"/>
    <w:rsid w:val="00581055"/>
    <w:rsid w:val="005A35A9"/>
    <w:rsid w:val="005B4542"/>
    <w:rsid w:val="005C2329"/>
    <w:rsid w:val="006A1CA7"/>
    <w:rsid w:val="006A262A"/>
    <w:rsid w:val="007F5236"/>
    <w:rsid w:val="00855D4C"/>
    <w:rsid w:val="00890353"/>
    <w:rsid w:val="0089661D"/>
    <w:rsid w:val="008F475A"/>
    <w:rsid w:val="0098383A"/>
    <w:rsid w:val="00984B9A"/>
    <w:rsid w:val="00A05423"/>
    <w:rsid w:val="00A667F0"/>
    <w:rsid w:val="00A773AA"/>
    <w:rsid w:val="00AC7377"/>
    <w:rsid w:val="00B4677E"/>
    <w:rsid w:val="00C46BC4"/>
    <w:rsid w:val="00CC4432"/>
    <w:rsid w:val="00CC642F"/>
    <w:rsid w:val="00D07ED9"/>
    <w:rsid w:val="00D16E83"/>
    <w:rsid w:val="00DC41E2"/>
    <w:rsid w:val="00DC7890"/>
    <w:rsid w:val="00E50BA2"/>
    <w:rsid w:val="00E74299"/>
    <w:rsid w:val="00E97553"/>
    <w:rsid w:val="00EA27BA"/>
    <w:rsid w:val="00F22C14"/>
    <w:rsid w:val="00F530E6"/>
    <w:rsid w:val="00F655E9"/>
    <w:rsid w:val="28723EDB"/>
    <w:rsid w:val="54D13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Balloon Text"/>
    <w:basedOn w:val="1"/>
    <w:link w:val="11"/>
    <w:unhideWhenUsed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9">
    <w:name w:val="page number"/>
    <w:basedOn w:val="8"/>
    <w:uiPriority w:val="0"/>
    <w:rPr>
      <w:rFonts w:cs="Times New Roman"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customStyle="1" w:styleId="11">
    <w:name w:val="Balloon Text Char"/>
    <w:basedOn w:val="8"/>
    <w:link w:val="3"/>
    <w:semiHidden/>
    <w:uiPriority w:val="99"/>
    <w:rPr>
      <w:rFonts w:ascii="Tahoma" w:hAnsi="Tahoma" w:cs="Tahoma"/>
      <w:kern w:val="2"/>
      <w:sz w:val="16"/>
      <w:szCs w:val="16"/>
    </w:rPr>
  </w:style>
  <w:style w:type="paragraph" w:customStyle="1" w:styleId="12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WCMC</Company>
  <Pages>2</Pages>
  <Words>210</Words>
  <Characters>1280</Characters>
  <Lines>10</Lines>
  <Paragraphs>2</Paragraphs>
  <TotalTime>0</TotalTime>
  <ScaleCrop>false</ScaleCrop>
  <LinksUpToDate>false</LinksUpToDate>
  <CharactersWithSpaces>1457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Mutated Oncogene</cp:category>
  <dcterms:created xsi:type="dcterms:W3CDTF">2013-07-01T07:35:00Z</dcterms:created>
  <dc:creator>Limin Wang</dc:creator>
  <cp:keywords>EGFR</cp:keywords>
  <cp:lastModifiedBy>周亿福</cp:lastModifiedBy>
  <cp:lastPrinted>2012-11-19T08:41:00Z</cp:lastPrinted>
  <dcterms:modified xsi:type="dcterms:W3CDTF">2025-08-15T08:05:59Z</dcterms:modified>
  <dc:title>A839T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19DA7C21DA174AC99D0DF55D67B2CBFD_13</vt:lpwstr>
  </property>
</Properties>
</file>